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32" w:rsidRDefault="00080C32" w:rsidP="00080C32">
      <w:pPr>
        <w:jc w:val="center"/>
        <w:rPr>
          <w:rFonts w:ascii="Arial" w:hAnsi="Arial" w:cs="Arial"/>
        </w:rPr>
      </w:pPr>
      <w:bookmarkStart w:id="0" w:name="_GoBack"/>
      <w:bookmarkEnd w:id="0"/>
      <w:r>
        <w:rPr>
          <w:rFonts w:ascii="Arial" w:hAnsi="Arial" w:cs="Arial"/>
        </w:rPr>
        <w:t>N á v r h</w:t>
      </w:r>
    </w:p>
    <w:p w:rsidR="00080C32" w:rsidRPr="007A5902" w:rsidRDefault="00080C32" w:rsidP="00080C32">
      <w:pPr>
        <w:jc w:val="both"/>
        <w:rPr>
          <w:rFonts w:ascii="Arial" w:hAnsi="Arial" w:cs="Arial"/>
        </w:rPr>
      </w:pPr>
      <w:r w:rsidRPr="007A5902">
        <w:rPr>
          <w:rFonts w:ascii="Arial" w:hAnsi="Arial" w:cs="Arial"/>
        </w:rPr>
        <w:t xml:space="preserve">Mesto Senica v súlade s ustanovením § 6 ods.1 zákona 369/1990 Zb. o obecnom zriadení v znení neskorších predpisov (ďalej len zákon č. 369/1990 Zb. ) a ustanoveniami § 77 - § 83 zákona č. 582/2004 </w:t>
      </w:r>
      <w:proofErr w:type="spellStart"/>
      <w:r w:rsidRPr="007A5902">
        <w:rPr>
          <w:rFonts w:ascii="Arial" w:hAnsi="Arial" w:cs="Arial"/>
        </w:rPr>
        <w:t>Z.z</w:t>
      </w:r>
      <w:proofErr w:type="spellEnd"/>
      <w:r w:rsidRPr="007A5902">
        <w:rPr>
          <w:rFonts w:ascii="Arial" w:hAnsi="Arial" w:cs="Arial"/>
        </w:rPr>
        <w:t xml:space="preserve">. o miestnych daniach a miestnom poplatku za komunálne odpady a drobné stavebné odpady v znení neskorších predpisov (ďalej len zákon č. 582/2004 </w:t>
      </w:r>
      <w:proofErr w:type="spellStart"/>
      <w:r w:rsidRPr="007A5902">
        <w:rPr>
          <w:rFonts w:ascii="Arial" w:hAnsi="Arial" w:cs="Arial"/>
        </w:rPr>
        <w:t>Z.z</w:t>
      </w:r>
      <w:proofErr w:type="spellEnd"/>
      <w:r w:rsidRPr="007A5902">
        <w:rPr>
          <w:rFonts w:ascii="Arial" w:hAnsi="Arial" w:cs="Arial"/>
        </w:rPr>
        <w:t>.)</w:t>
      </w:r>
    </w:p>
    <w:p w:rsidR="00080C32" w:rsidRPr="007A5902" w:rsidRDefault="00080C32" w:rsidP="00080C32">
      <w:pPr>
        <w:jc w:val="both"/>
        <w:rPr>
          <w:rFonts w:ascii="Arial" w:hAnsi="Arial" w:cs="Arial"/>
        </w:rPr>
      </w:pPr>
    </w:p>
    <w:p w:rsidR="00080C32" w:rsidRPr="007A5902" w:rsidRDefault="00080C32" w:rsidP="00080C32">
      <w:pPr>
        <w:jc w:val="both"/>
        <w:rPr>
          <w:rFonts w:ascii="Arial" w:hAnsi="Arial" w:cs="Arial"/>
        </w:rPr>
      </w:pPr>
    </w:p>
    <w:p w:rsidR="00080C32" w:rsidRPr="007A5902" w:rsidRDefault="00080C32" w:rsidP="00080C32">
      <w:pPr>
        <w:jc w:val="center"/>
        <w:rPr>
          <w:rFonts w:ascii="Arial" w:hAnsi="Arial" w:cs="Arial"/>
        </w:rPr>
      </w:pPr>
      <w:r w:rsidRPr="007A5902">
        <w:rPr>
          <w:rFonts w:ascii="Arial" w:hAnsi="Arial" w:cs="Arial"/>
        </w:rPr>
        <w:t>V y d á v a</w:t>
      </w:r>
    </w:p>
    <w:p w:rsidR="00080C32" w:rsidRPr="007A5902" w:rsidRDefault="00080C32" w:rsidP="00080C32">
      <w:pPr>
        <w:spacing w:after="0"/>
        <w:jc w:val="center"/>
        <w:rPr>
          <w:rFonts w:ascii="Arial" w:hAnsi="Arial" w:cs="Arial"/>
        </w:rPr>
      </w:pPr>
    </w:p>
    <w:p w:rsidR="00080C32" w:rsidRPr="007A5902" w:rsidRDefault="00080C32" w:rsidP="00080C32">
      <w:pPr>
        <w:spacing w:after="0"/>
        <w:jc w:val="center"/>
        <w:rPr>
          <w:rFonts w:ascii="Arial" w:hAnsi="Arial" w:cs="Arial"/>
        </w:rPr>
      </w:pPr>
    </w:p>
    <w:p w:rsidR="00080C32" w:rsidRPr="007A5902" w:rsidRDefault="00080C32" w:rsidP="00080C32">
      <w:pPr>
        <w:spacing w:after="0"/>
        <w:jc w:val="center"/>
        <w:rPr>
          <w:rFonts w:ascii="Arial" w:hAnsi="Arial" w:cs="Arial"/>
          <w:b/>
        </w:rPr>
      </w:pPr>
      <w:r w:rsidRPr="007A5902">
        <w:rPr>
          <w:rFonts w:ascii="Arial" w:hAnsi="Arial" w:cs="Arial"/>
          <w:b/>
        </w:rPr>
        <w:t>Všeobecne záväzné nariadenie mesta Senica č. 3A o miestnom poplatku za komunálne odpady  a drobné stavebné odpady</w:t>
      </w:r>
    </w:p>
    <w:p w:rsidR="00080C32" w:rsidRPr="007A5902" w:rsidRDefault="00080C32" w:rsidP="00080C32">
      <w:pPr>
        <w:jc w:val="both"/>
        <w:rPr>
          <w:rFonts w:ascii="Arial" w:hAnsi="Arial" w:cs="Arial"/>
          <w:b/>
        </w:rPr>
      </w:pPr>
    </w:p>
    <w:p w:rsidR="00080C32" w:rsidRPr="007A5902" w:rsidRDefault="00080C32" w:rsidP="00080C32">
      <w:pPr>
        <w:jc w:val="both"/>
        <w:rPr>
          <w:rFonts w:ascii="Arial" w:hAnsi="Arial" w:cs="Arial"/>
        </w:rPr>
      </w:pPr>
    </w:p>
    <w:p w:rsidR="00080C32" w:rsidRPr="007A5902" w:rsidRDefault="00080C32" w:rsidP="00080C32">
      <w:pPr>
        <w:jc w:val="both"/>
        <w:rPr>
          <w:rFonts w:ascii="Arial" w:hAnsi="Arial" w:cs="Arial"/>
        </w:rPr>
      </w:pPr>
    </w:p>
    <w:p w:rsidR="00080C32" w:rsidRPr="007A5902" w:rsidRDefault="00080C32" w:rsidP="00080C32">
      <w:pPr>
        <w:jc w:val="both"/>
        <w:rPr>
          <w:rFonts w:ascii="Arial" w:hAnsi="Arial" w:cs="Arial"/>
          <w:b/>
        </w:rPr>
      </w:pPr>
      <w:r w:rsidRPr="007A5902">
        <w:rPr>
          <w:rFonts w:ascii="Arial" w:hAnsi="Arial" w:cs="Arial"/>
          <w:b/>
        </w:rPr>
        <w:t>Čl. 1 Úvodné ustanovenia</w:t>
      </w:r>
    </w:p>
    <w:p w:rsidR="00080C32" w:rsidRPr="007A5902" w:rsidRDefault="00080C32" w:rsidP="00080C32">
      <w:pPr>
        <w:jc w:val="both"/>
        <w:rPr>
          <w:rFonts w:ascii="Arial" w:hAnsi="Arial" w:cs="Arial"/>
        </w:rPr>
      </w:pPr>
      <w:r w:rsidRPr="007A5902">
        <w:rPr>
          <w:rFonts w:ascii="Arial" w:hAnsi="Arial" w:cs="Arial"/>
        </w:rPr>
        <w:t>1. Mestské zastupiteľstvo v Senici podľa § 11 ods. 4 písm. d) a e) zákona č. 369/1990 Zb. v </w:t>
      </w:r>
      <w:proofErr w:type="spellStart"/>
      <w:r w:rsidRPr="007A5902">
        <w:rPr>
          <w:rFonts w:ascii="Arial" w:hAnsi="Arial" w:cs="Arial"/>
        </w:rPr>
        <w:t>náväznosti</w:t>
      </w:r>
      <w:proofErr w:type="spellEnd"/>
      <w:r w:rsidRPr="007A5902">
        <w:rPr>
          <w:rFonts w:ascii="Arial" w:hAnsi="Arial" w:cs="Arial"/>
        </w:rPr>
        <w:t xml:space="preserve"> na zákon č. 582/2004 </w:t>
      </w:r>
      <w:proofErr w:type="spellStart"/>
      <w:r w:rsidRPr="007A5902">
        <w:rPr>
          <w:rFonts w:ascii="Arial" w:hAnsi="Arial" w:cs="Arial"/>
        </w:rPr>
        <w:t>Z.z</w:t>
      </w:r>
      <w:proofErr w:type="spellEnd"/>
      <w:r w:rsidRPr="007A5902">
        <w:rPr>
          <w:rFonts w:ascii="Arial" w:hAnsi="Arial" w:cs="Arial"/>
        </w:rPr>
        <w:t>. zavádza s účinnosťou od 1. januára 2016 miestny poplatok za komunálne odpady a drobné stavebné odpady (ďalej len „poplatok“).</w:t>
      </w:r>
    </w:p>
    <w:p w:rsidR="00080C32" w:rsidRPr="007A5902" w:rsidRDefault="00080C32" w:rsidP="00080C32">
      <w:pPr>
        <w:spacing w:after="0"/>
        <w:jc w:val="both"/>
        <w:rPr>
          <w:rFonts w:ascii="Arial" w:hAnsi="Arial" w:cs="Arial"/>
        </w:rPr>
      </w:pPr>
      <w:r w:rsidRPr="007A5902">
        <w:rPr>
          <w:rFonts w:ascii="Arial" w:hAnsi="Arial" w:cs="Arial"/>
        </w:rPr>
        <w:t>2. Toto všeobecne záväzné nariadenie upravuje:</w:t>
      </w:r>
    </w:p>
    <w:p w:rsidR="00080C32" w:rsidRPr="007A5902" w:rsidRDefault="00080C32" w:rsidP="00080C32">
      <w:pPr>
        <w:suppressLineNumbers/>
        <w:spacing w:after="0"/>
        <w:jc w:val="both"/>
        <w:rPr>
          <w:rFonts w:ascii="Arial" w:hAnsi="Arial" w:cs="Arial"/>
        </w:rPr>
      </w:pPr>
      <w:r w:rsidRPr="007A5902">
        <w:rPr>
          <w:rFonts w:ascii="Arial" w:hAnsi="Arial" w:cs="Arial"/>
        </w:rPr>
        <w:t>a) hodnotu koeficientu</w:t>
      </w:r>
    </w:p>
    <w:p w:rsidR="00080C32" w:rsidRPr="007A5902" w:rsidRDefault="00080C32" w:rsidP="00080C32">
      <w:pPr>
        <w:suppressLineNumbers/>
        <w:spacing w:after="0"/>
        <w:jc w:val="both"/>
        <w:rPr>
          <w:rFonts w:ascii="Arial" w:hAnsi="Arial" w:cs="Arial"/>
        </w:rPr>
      </w:pPr>
      <w:r w:rsidRPr="007A5902">
        <w:rPr>
          <w:rFonts w:ascii="Arial" w:hAnsi="Arial" w:cs="Arial"/>
        </w:rPr>
        <w:t>b) pri množstvovom zbere spôsob a lehotu zaplatenia poplatku</w:t>
      </w:r>
    </w:p>
    <w:p w:rsidR="00080C32" w:rsidRPr="007A5902" w:rsidRDefault="00080C32" w:rsidP="00080C32">
      <w:pPr>
        <w:suppressLineNumbers/>
        <w:spacing w:after="0"/>
        <w:jc w:val="both"/>
        <w:rPr>
          <w:rFonts w:ascii="Arial" w:hAnsi="Arial" w:cs="Arial"/>
        </w:rPr>
      </w:pPr>
      <w:r w:rsidRPr="007A5902">
        <w:rPr>
          <w:rFonts w:ascii="Arial" w:hAnsi="Arial" w:cs="Arial"/>
        </w:rPr>
        <w:t>c) podmienky na vrátenie poplatku alebo jeho pomernej časti</w:t>
      </w:r>
    </w:p>
    <w:p w:rsidR="00080C32" w:rsidRPr="007A5902" w:rsidRDefault="00080C32" w:rsidP="00080C32">
      <w:pPr>
        <w:suppressLineNumbers/>
        <w:spacing w:after="0"/>
        <w:jc w:val="both"/>
        <w:rPr>
          <w:rFonts w:ascii="Arial" w:hAnsi="Arial" w:cs="Arial"/>
        </w:rPr>
      </w:pPr>
      <w:r w:rsidRPr="007A5902">
        <w:rPr>
          <w:rFonts w:ascii="Arial" w:hAnsi="Arial" w:cs="Arial"/>
        </w:rPr>
        <w:t>d) podmienky, ktorých splnenie má poplatník preukázať a podklady, ktoré má poplatník predložiť pri znížení alebo  odpustení poplatku.</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3. Správcom dane je  Mesto Senica (ďalej len správca dane) a poplatok je príjmom rozpočtu mesta.</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b/>
        </w:rPr>
      </w:pPr>
      <w:r w:rsidRPr="007A5902">
        <w:rPr>
          <w:rFonts w:ascii="Arial" w:hAnsi="Arial" w:cs="Arial"/>
          <w:b/>
        </w:rPr>
        <w:t>Čl. 2 Sadzby poplatku</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 xml:space="preserve">1. V meste Senica je zavedený množstvový zber pre fyzické osoby – podnikateľov a právnické osoby. Správca dane  stanovuje pri množstvovom  zbere sadzbu poplatku za   1 liter komunálnych odpadov v závislosti od objemu zbernej nádoby a frekvencie jej vývozu nasledovne: </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center"/>
        <w:rPr>
          <w:rFonts w:ascii="Arial" w:hAnsi="Arial" w:cs="Arial"/>
        </w:rPr>
      </w:pPr>
      <w:r w:rsidRPr="007A5902">
        <w:rPr>
          <w:rFonts w:ascii="Arial" w:hAnsi="Arial" w:cs="Arial"/>
        </w:rPr>
        <w:t>Strana 1</w:t>
      </w:r>
    </w:p>
    <w:p w:rsidR="00080C32" w:rsidRPr="007A5902" w:rsidRDefault="00080C32" w:rsidP="00080C32">
      <w:pPr>
        <w:suppressLineNumbers/>
        <w:spacing w:after="0"/>
        <w:jc w:val="both"/>
        <w:rPr>
          <w:rFonts w:ascii="Arial" w:hAnsi="Arial" w:cs="Arial"/>
        </w:rPr>
      </w:pPr>
      <w:r w:rsidRPr="007A5902">
        <w:rPr>
          <w:rFonts w:ascii="Arial" w:hAnsi="Arial" w:cs="Arial"/>
        </w:rPr>
        <w:t>a) Bez čistenia stojiska</w:t>
      </w:r>
    </w:p>
    <w:p w:rsidR="00080C32" w:rsidRPr="007A5902" w:rsidRDefault="00080C32" w:rsidP="00080C32">
      <w:pPr>
        <w:suppressLineNumbers/>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2410"/>
      </w:tblGrid>
      <w:tr w:rsidR="00080C32" w:rsidRPr="007A5902" w:rsidTr="00257649">
        <w:tc>
          <w:tcPr>
            <w:tcW w:w="2518" w:type="dxa"/>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Objem nádoby</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v litroch</w:t>
            </w:r>
          </w:p>
        </w:tc>
        <w:tc>
          <w:tcPr>
            <w:tcW w:w="1559" w:type="dxa"/>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Počet</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 xml:space="preserve">vývozov/rok  </w:t>
            </w:r>
          </w:p>
        </w:tc>
        <w:tc>
          <w:tcPr>
            <w:tcW w:w="2410" w:type="dxa"/>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Sadzba poplatku</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v €/liter</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110 – 140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52</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0,013668</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110 – 140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0,015300</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240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52</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0,010296</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240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0,012696</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52</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0,010832</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0,013559</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104</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0,009959</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156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0,009959</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52</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0,009854</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0,012298</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104</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0,009069</w:t>
            </w:r>
          </w:p>
        </w:tc>
      </w:tr>
      <w:tr w:rsidR="00080C32" w:rsidRPr="007A5902" w:rsidTr="00257649">
        <w:tc>
          <w:tcPr>
            <w:tcW w:w="251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1559"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156</w:t>
            </w:r>
          </w:p>
        </w:tc>
        <w:tc>
          <w:tcPr>
            <w:tcW w:w="2410"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0,009069</w:t>
            </w:r>
          </w:p>
        </w:tc>
      </w:tr>
    </w:tbl>
    <w:p w:rsidR="00080C32" w:rsidRPr="007A5902" w:rsidRDefault="00080C32" w:rsidP="00080C32">
      <w:pPr>
        <w:suppressLineNumbers/>
        <w:spacing w:after="0"/>
        <w:jc w:val="both"/>
        <w:rPr>
          <w:rFonts w:ascii="Arial" w:hAnsi="Arial" w:cs="Arial"/>
        </w:rPr>
      </w:pPr>
    </w:p>
    <w:p w:rsidR="00080C32" w:rsidRPr="007A5902" w:rsidRDefault="00080C32" w:rsidP="00080C32">
      <w:pPr>
        <w:spacing w:after="0" w:line="240" w:lineRule="auto"/>
        <w:jc w:val="both"/>
        <w:rPr>
          <w:rFonts w:ascii="Arial" w:eastAsia="Times New Roman" w:hAnsi="Arial" w:cs="Arial"/>
          <w:lang w:eastAsia="cs-CZ"/>
        </w:rPr>
      </w:pPr>
    </w:p>
    <w:p w:rsidR="00080C32" w:rsidRPr="007A5902" w:rsidRDefault="00080C32" w:rsidP="00080C32">
      <w:pPr>
        <w:spacing w:after="0" w:line="240" w:lineRule="auto"/>
        <w:jc w:val="both"/>
        <w:rPr>
          <w:rFonts w:ascii="Arial" w:eastAsia="Times New Roman" w:hAnsi="Arial" w:cs="Arial"/>
          <w:lang w:eastAsia="cs-CZ"/>
        </w:rPr>
      </w:pPr>
      <w:r w:rsidRPr="007A5902">
        <w:rPr>
          <w:rFonts w:ascii="Arial" w:eastAsia="Times New Roman" w:hAnsi="Arial" w:cs="Arial"/>
          <w:lang w:eastAsia="cs-CZ"/>
        </w:rPr>
        <w:t>b) S čistením stojiska</w:t>
      </w:r>
    </w:p>
    <w:p w:rsidR="00080C32" w:rsidRPr="007A5902" w:rsidRDefault="00080C32" w:rsidP="00080C32">
      <w:pPr>
        <w:spacing w:after="0" w:line="240" w:lineRule="auto"/>
        <w:jc w:val="both"/>
        <w:rPr>
          <w:rFonts w:ascii="Arial" w:eastAsia="Times New Roman"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488"/>
        <w:gridCol w:w="1964"/>
      </w:tblGrid>
      <w:tr w:rsidR="00080C32" w:rsidRPr="007A5902" w:rsidTr="00257649">
        <w:tc>
          <w:tcPr>
            <w:tcW w:w="0" w:type="auto"/>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Objem nádoby</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v litroch</w:t>
            </w:r>
          </w:p>
        </w:tc>
        <w:tc>
          <w:tcPr>
            <w:tcW w:w="0" w:type="auto"/>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Počet</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 xml:space="preserve">vývozov/rok  </w:t>
            </w:r>
          </w:p>
        </w:tc>
        <w:tc>
          <w:tcPr>
            <w:tcW w:w="0" w:type="auto"/>
            <w:shd w:val="clear" w:color="auto" w:fill="auto"/>
          </w:tcPr>
          <w:p w:rsidR="00080C32" w:rsidRPr="007A5902" w:rsidRDefault="00080C32" w:rsidP="00257649">
            <w:pPr>
              <w:suppressLineNumbers/>
              <w:spacing w:after="0"/>
              <w:jc w:val="both"/>
              <w:rPr>
                <w:rFonts w:ascii="Arial" w:eastAsia="Times New Roman" w:hAnsi="Arial" w:cs="Arial"/>
                <w:b/>
                <w:lang w:eastAsia="cs-CZ"/>
              </w:rPr>
            </w:pPr>
            <w:r w:rsidRPr="007A5902">
              <w:rPr>
                <w:rFonts w:ascii="Arial" w:eastAsia="Times New Roman" w:hAnsi="Arial" w:cs="Arial"/>
                <w:b/>
                <w:lang w:eastAsia="cs-CZ"/>
              </w:rPr>
              <w:t>Sadzba poplatku</w:t>
            </w:r>
          </w:p>
          <w:p w:rsidR="00080C32" w:rsidRPr="007A5902" w:rsidRDefault="00080C32" w:rsidP="00257649">
            <w:pPr>
              <w:suppressLineNumbers/>
              <w:spacing w:after="0"/>
              <w:jc w:val="both"/>
              <w:rPr>
                <w:rFonts w:ascii="Arial" w:hAnsi="Arial" w:cs="Arial"/>
              </w:rPr>
            </w:pPr>
            <w:r w:rsidRPr="007A5902">
              <w:rPr>
                <w:rFonts w:ascii="Arial" w:eastAsia="Times New Roman" w:hAnsi="Arial" w:cs="Arial"/>
                <w:b/>
                <w:lang w:eastAsia="cs-CZ"/>
              </w:rPr>
              <w:t>v €/liter</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110 – 140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52</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0,014436</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110 – 140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0,016740</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240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52</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0,010846</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240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0,013846</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52</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0,011759</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0,015414</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104</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0,010887</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660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156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0,010887</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52</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0,010683</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26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0,013967</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104</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0,009898</w:t>
            </w:r>
          </w:p>
        </w:tc>
      </w:tr>
      <w:tr w:rsidR="00080C32" w:rsidRPr="007A5902" w:rsidTr="00257649">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1100 l</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156</w:t>
            </w:r>
          </w:p>
        </w:tc>
        <w:tc>
          <w:tcPr>
            <w:tcW w:w="0" w:type="auto"/>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0,009898</w:t>
            </w:r>
          </w:p>
        </w:tc>
      </w:tr>
    </w:tbl>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c) parkové koše</w:t>
      </w:r>
    </w:p>
    <w:p w:rsidR="00080C32" w:rsidRPr="007A5902" w:rsidRDefault="00080C32" w:rsidP="00080C32">
      <w:pPr>
        <w:suppressLineNumbers/>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307"/>
        <w:gridCol w:w="1447"/>
      </w:tblGrid>
      <w:tr w:rsidR="00080C32" w:rsidRPr="007A5902" w:rsidTr="00257649">
        <w:tc>
          <w:tcPr>
            <w:tcW w:w="115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30 l</w:t>
            </w:r>
          </w:p>
        </w:tc>
        <w:tc>
          <w:tcPr>
            <w:tcW w:w="130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26</w:t>
            </w:r>
          </w:p>
        </w:tc>
        <w:tc>
          <w:tcPr>
            <w:tcW w:w="144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0,030000</w:t>
            </w:r>
          </w:p>
        </w:tc>
      </w:tr>
      <w:tr w:rsidR="00080C32" w:rsidRPr="007A5902" w:rsidTr="00257649">
        <w:tc>
          <w:tcPr>
            <w:tcW w:w="115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30 l</w:t>
            </w:r>
          </w:p>
        </w:tc>
        <w:tc>
          <w:tcPr>
            <w:tcW w:w="130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52</w:t>
            </w:r>
          </w:p>
        </w:tc>
        <w:tc>
          <w:tcPr>
            <w:tcW w:w="144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0,024400</w:t>
            </w:r>
          </w:p>
        </w:tc>
      </w:tr>
      <w:tr w:rsidR="00080C32" w:rsidRPr="007A5902" w:rsidTr="00257649">
        <w:tc>
          <w:tcPr>
            <w:tcW w:w="115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30 l</w:t>
            </w:r>
          </w:p>
        </w:tc>
        <w:tc>
          <w:tcPr>
            <w:tcW w:w="130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104</w:t>
            </w:r>
          </w:p>
        </w:tc>
        <w:tc>
          <w:tcPr>
            <w:tcW w:w="144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0,024400</w:t>
            </w:r>
          </w:p>
        </w:tc>
      </w:tr>
      <w:tr w:rsidR="00080C32" w:rsidRPr="007A5902" w:rsidTr="00257649">
        <w:tc>
          <w:tcPr>
            <w:tcW w:w="1158"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30 l</w:t>
            </w:r>
          </w:p>
        </w:tc>
        <w:tc>
          <w:tcPr>
            <w:tcW w:w="130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hAnsi="Arial" w:cs="Arial"/>
              </w:rPr>
              <w:t>156</w:t>
            </w:r>
          </w:p>
        </w:tc>
        <w:tc>
          <w:tcPr>
            <w:tcW w:w="1447" w:type="dxa"/>
            <w:shd w:val="clear" w:color="auto" w:fill="auto"/>
          </w:tcPr>
          <w:p w:rsidR="00080C32" w:rsidRPr="007A5902" w:rsidRDefault="00080C32" w:rsidP="00257649">
            <w:pPr>
              <w:suppressLineNumbers/>
              <w:spacing w:after="0"/>
              <w:jc w:val="center"/>
              <w:rPr>
                <w:rFonts w:ascii="Arial" w:hAnsi="Arial" w:cs="Arial"/>
              </w:rPr>
            </w:pPr>
            <w:r w:rsidRPr="007A5902">
              <w:rPr>
                <w:rFonts w:ascii="Arial" w:eastAsia="Times New Roman" w:hAnsi="Arial" w:cs="Arial"/>
                <w:lang w:eastAsia="cs-CZ"/>
              </w:rPr>
              <w:t>0,024400</w:t>
            </w:r>
          </w:p>
        </w:tc>
      </w:tr>
    </w:tbl>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 xml:space="preserve">2. Správca dane stanovuje sadzbu paušálneho </w:t>
      </w:r>
      <w:r w:rsidRPr="00080C32">
        <w:rPr>
          <w:rFonts w:ascii="Arial" w:hAnsi="Arial" w:cs="Arial"/>
        </w:rPr>
        <w:t>poplatku 0,0705</w:t>
      </w:r>
      <w:r w:rsidRPr="007A5902">
        <w:rPr>
          <w:rFonts w:ascii="Arial" w:hAnsi="Arial" w:cs="Arial"/>
        </w:rPr>
        <w:t xml:space="preserve"> € za osobu a kalendárny deň subjektom, u ktorých nie je zavedený množstvový zber.</w:t>
      </w:r>
    </w:p>
    <w:p w:rsidR="00080C32" w:rsidRPr="007A5902" w:rsidRDefault="00080C32" w:rsidP="00080C32">
      <w:pPr>
        <w:suppressLineNumbers/>
        <w:spacing w:after="0"/>
        <w:jc w:val="center"/>
        <w:rPr>
          <w:rFonts w:ascii="Arial" w:hAnsi="Arial" w:cs="Arial"/>
        </w:rPr>
      </w:pPr>
    </w:p>
    <w:p w:rsidR="00080C32" w:rsidRPr="007A5902" w:rsidRDefault="00080C32" w:rsidP="00080C32">
      <w:pPr>
        <w:suppressLineNumbers/>
        <w:spacing w:after="0"/>
        <w:jc w:val="center"/>
        <w:rPr>
          <w:rFonts w:ascii="Arial" w:hAnsi="Arial" w:cs="Arial"/>
        </w:rPr>
      </w:pPr>
      <w:r w:rsidRPr="007A5902">
        <w:rPr>
          <w:rFonts w:ascii="Arial" w:hAnsi="Arial" w:cs="Arial"/>
        </w:rPr>
        <w:t>Strana 2</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b/>
        </w:rPr>
      </w:pPr>
      <w:r w:rsidRPr="00080C32">
        <w:rPr>
          <w:rFonts w:ascii="Arial" w:hAnsi="Arial" w:cs="Arial"/>
          <w:b/>
        </w:rPr>
        <w:t>3. Pre zber drobných stavebných odpadov, ktoré sú zaradené do režimu množstvového zberu, správca dane stanovuje sadzbu poplatku 0,029 € za kilogram drobných stavebných odpadov bez obsahu škodlivín.</w:t>
      </w:r>
      <w:r w:rsidRPr="007A5902">
        <w:rPr>
          <w:rFonts w:ascii="Arial" w:hAnsi="Arial" w:cs="Arial"/>
          <w:b/>
        </w:rPr>
        <w:t xml:space="preserve"> </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r w:rsidRPr="007A5902">
        <w:rPr>
          <w:rFonts w:ascii="Arial" w:hAnsi="Arial" w:cs="Arial"/>
          <w:b/>
        </w:rPr>
        <w:t>Čl. 3 Spôsob a lehota na zaplatenie poplatku pri množstvovom zbere</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1. Poplatníci, u ktorých je zavedený množstvový zber, platia poplatok na základe predpisu vydaného Mestom Senica.</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 xml:space="preserve">2.  Poplatok je možné uhradiť bezhotovostným prevodom alebo hotovostným vkladom na účet správcu dane v peňažnom ústave alebo hotovostnou platbou v pokladni Mestského úradu  Senica, na základe identifikačných údajov jednorázovo do 31. marca alebo v splátkach, s termínom do 31. marca a 30. septembra. </w:t>
      </w: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r w:rsidRPr="007A5902">
        <w:rPr>
          <w:rFonts w:ascii="Arial" w:hAnsi="Arial" w:cs="Arial"/>
          <w:b/>
        </w:rPr>
        <w:t>Čl. 4  Podmienky  na vrátenie poplatku alebo jeho pomernej časti</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1. Správca dane vráti poplatok alebo jeho pomernú časť poplatníkovi, ktorému zanikla poplatková povinnosť v priebehu príslušného zdaňovacieho obdobia  za podmienky, že túto skutočnosť oznámi správcovi dane a preukáže splnenie podmienok na vrátenie poplatku alebo jeho pomernej časti. Ak má poplatník ku dňu zániku poplatkovej povinnosti daňový nedoplatok na poplatku za predchádzajúce zdaňovacie obdobia, použije sa poplatok alebo jeho pomerná časť na úhradu nedoplatkov.</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2. Podkladom preukazujúcim splnenie podmienok na vrátenie poplatku alebo pomernej časti sú : potvrdenie o zmene trvalého pobytu, potvrdenie o ukončení prechodného pobytu na území mesta,  doklad o predaji nehnuteľnosti a doklad o prenájme nehnuteľnosti inej osobe.</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3.  Mesto vráti zaplatený poplatok alebo jeho pomernú časť do 31. decembra príslušného kalendárneho roka formou určenou poplatníkom pri oznámení zániku poplatkovej povinnosti, t.j. v hotovosti do pokladne Mestského úradu Senica alebo prevodom na ním nahlásený účet v banke.</w:t>
      </w: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r w:rsidRPr="007A5902">
        <w:rPr>
          <w:rFonts w:ascii="Arial" w:hAnsi="Arial" w:cs="Arial"/>
          <w:b/>
        </w:rPr>
        <w:t>Čl. 5  Podmienky a podklady na zníženie alebo odpustenie poplatku</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1. Správca dane na základe žiadosti  poplatníka poplatok v príslušnom zdaňovacom období zníži alebo odpustí za obdobie, za ktoré poplatník správcovi dane preukáže na základe podkladov, že viac ako 90 dní v zdaňovacom období sa nezdržiava alebo sa nezdržiaval na území mesta Senica.</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w:t>
      </w:r>
    </w:p>
    <w:p w:rsidR="00080C32" w:rsidRPr="007A5902" w:rsidRDefault="00080C32" w:rsidP="00080C32">
      <w:pPr>
        <w:suppressLineNumbers/>
        <w:spacing w:after="0"/>
        <w:jc w:val="both"/>
        <w:rPr>
          <w:rFonts w:ascii="Arial" w:hAnsi="Arial" w:cs="Arial"/>
        </w:rPr>
      </w:pPr>
      <w:r w:rsidRPr="007A5902">
        <w:rPr>
          <w:rFonts w:ascii="Arial" w:hAnsi="Arial" w:cs="Arial"/>
        </w:rPr>
        <w:t>2. Podkladom na  preukázanie dôvodov zníženia alebo odpustenia poplatku v príslušnom zdaňovacom období je :</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z inej obce, že poplatník jej zaplatil poplatok </w:t>
      </w:r>
    </w:p>
    <w:p w:rsidR="00080C32" w:rsidRPr="007A5902" w:rsidRDefault="00080C32" w:rsidP="00080C32">
      <w:pPr>
        <w:suppressLineNumbers/>
        <w:spacing w:after="0"/>
        <w:jc w:val="center"/>
        <w:rPr>
          <w:rFonts w:ascii="Arial" w:hAnsi="Arial" w:cs="Arial"/>
        </w:rPr>
      </w:pPr>
      <w:r w:rsidRPr="007A5902">
        <w:rPr>
          <w:rFonts w:ascii="Arial" w:hAnsi="Arial" w:cs="Arial"/>
        </w:rPr>
        <w:t>Strana 3</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w:t>
      </w:r>
      <w:proofErr w:type="spellStart"/>
      <w:r w:rsidRPr="007A5902">
        <w:rPr>
          <w:rFonts w:ascii="Arial" w:hAnsi="Arial" w:cs="Arial"/>
        </w:rPr>
        <w:t>nápravno</w:t>
      </w:r>
      <w:proofErr w:type="spellEnd"/>
      <w:r w:rsidRPr="007A5902">
        <w:rPr>
          <w:rFonts w:ascii="Arial" w:hAnsi="Arial" w:cs="Arial"/>
        </w:rPr>
        <w:t xml:space="preserve"> - výchovného zariadenia o výkone väzby alebo trestu odňatia slobody</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zariadenia poskytujúceho služby zdravotnej starostlivosti pobytovou formou </w:t>
      </w:r>
    </w:p>
    <w:p w:rsidR="00080C32" w:rsidRPr="007A5902" w:rsidRDefault="00080C32" w:rsidP="00080C32">
      <w:pPr>
        <w:suppressLineNumbers/>
        <w:spacing w:after="0"/>
        <w:jc w:val="both"/>
        <w:rPr>
          <w:rFonts w:ascii="Arial" w:hAnsi="Arial" w:cs="Arial"/>
        </w:rPr>
      </w:pPr>
      <w:r w:rsidRPr="007A5902">
        <w:rPr>
          <w:rFonts w:ascii="Arial" w:hAnsi="Arial" w:cs="Arial"/>
        </w:rPr>
        <w:t>- potvrdenie zariadenia poskytujúceho sociálne služby pobytovou formou</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o ubytovaní študenta mimo mesta v aktuálnom školskom roku </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alebo iný doklad o existencii resp. trvaní pracovného vzťahu alebo obdobného vzťahu s určením miesta výkonu práce mimo územia mesta a doklad o ubytovaní </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 potvrdenie zamestnávateľa zo zahraničia o trvaní pracovného pomeru </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Podklad je poplatník povinný predložiť v zdaňovacom období, za ktoré si poplatník uplatňuje nárok na odpustenie poplatku. Uvedené podklady nie je možné nahradiť čestným vyhlásením. </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3.  Ak si v zdaňovacom období poplatník  neuplatní nárok  na odpustenie poplatku do 31. decembra príslušného kalendárneho roka  a nepredloží príslušné podklady, nárok na odpustenie poplatku za toto obdobie zaniká.</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4. Odpustenie poplatku si môže uplatniť poplatník, ktorý nemá nedoplatky na poplatku za predchádzajúce zdaňovacie  obdobie.</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p>
    <w:p w:rsidR="00080C32" w:rsidRPr="007A5902" w:rsidRDefault="00080C32" w:rsidP="00080C32">
      <w:pPr>
        <w:suppressLineNumbers/>
        <w:spacing w:after="0"/>
        <w:jc w:val="both"/>
        <w:rPr>
          <w:rFonts w:ascii="Arial" w:hAnsi="Arial" w:cs="Arial"/>
          <w:b/>
        </w:rPr>
      </w:pPr>
      <w:r w:rsidRPr="007A5902">
        <w:rPr>
          <w:rFonts w:ascii="Arial" w:hAnsi="Arial" w:cs="Arial"/>
          <w:b/>
        </w:rPr>
        <w:t>Čl.  6  Zrušovacie ustanovenie</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1. Dňom nadobudnutia právoplatnosti tohto všeobecne záväzného nariadenia sa ruší doteraz platné Všeobecne záväzné nariadenie  č. 3A o miestnom poplatku za komunálne odpady a drobné stavebné odpady schválené uznesením Mestského  zastupiteľstva v Senici č. MsZ/2014/728 dňa 13.11.2014.</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2. Mestské zastupiteľstvo v Senici toto všeobecne záväzné nariadenie o miestnom poplatku za komunálne odpady a drobné stavebné odpady schválilo dňa 12.11.2015  uznesením č.  MsZ/2015/......</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Vyvesené na úradnej tabuli: </w:t>
      </w:r>
    </w:p>
    <w:p w:rsidR="00080C32" w:rsidRPr="007A5902" w:rsidRDefault="00080C32" w:rsidP="00080C32">
      <w:pPr>
        <w:suppressLineNumbers/>
        <w:spacing w:after="0"/>
        <w:jc w:val="both"/>
        <w:rPr>
          <w:rFonts w:ascii="Arial" w:hAnsi="Arial" w:cs="Arial"/>
        </w:rPr>
      </w:pPr>
      <w:r w:rsidRPr="007A5902">
        <w:rPr>
          <w:rFonts w:ascii="Arial" w:hAnsi="Arial" w:cs="Arial"/>
        </w:rPr>
        <w:t xml:space="preserve">Účinnosť nadobúda 1.1.2016.  </w:t>
      </w:r>
    </w:p>
    <w:p w:rsidR="00080C32" w:rsidRPr="007A5902" w:rsidRDefault="00080C32" w:rsidP="00080C32">
      <w:pPr>
        <w:suppressLineNumbers/>
        <w:spacing w:after="0"/>
        <w:jc w:val="both"/>
        <w:rPr>
          <w:rFonts w:ascii="Arial" w:hAnsi="Arial" w:cs="Arial"/>
        </w:rPr>
      </w:pPr>
      <w:r w:rsidRPr="007A5902">
        <w:rPr>
          <w:rFonts w:ascii="Arial" w:hAnsi="Arial" w:cs="Arial"/>
        </w:rPr>
        <w:tab/>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t>Mgr. Branislav Grimm</w:t>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r>
      <w:r w:rsidRPr="007A5902">
        <w:rPr>
          <w:rFonts w:ascii="Arial" w:hAnsi="Arial" w:cs="Arial"/>
        </w:rPr>
        <w:tab/>
        <w:t>Primátor mesta Senica</w:t>
      </w:r>
    </w:p>
    <w:p w:rsidR="00080C32" w:rsidRPr="007A5902" w:rsidRDefault="00080C32" w:rsidP="00080C32">
      <w:pPr>
        <w:suppressLineNumbers/>
        <w:spacing w:after="0"/>
        <w:jc w:val="both"/>
        <w:rPr>
          <w:rFonts w:ascii="Arial" w:hAnsi="Arial" w:cs="Arial"/>
        </w:rPr>
      </w:pPr>
    </w:p>
    <w:p w:rsidR="00080C32" w:rsidRPr="007A5902" w:rsidRDefault="00080C32" w:rsidP="00080C32">
      <w:pPr>
        <w:suppressLineNumbers/>
        <w:spacing w:after="0"/>
        <w:jc w:val="both"/>
        <w:rPr>
          <w:rFonts w:ascii="Arial" w:hAnsi="Arial" w:cs="Arial"/>
        </w:rPr>
      </w:pPr>
    </w:p>
    <w:p w:rsidR="00080C32" w:rsidRPr="007A5902" w:rsidRDefault="00080C32" w:rsidP="00080C32"/>
    <w:p w:rsidR="00080C32" w:rsidRPr="007A5902" w:rsidRDefault="00080C32" w:rsidP="00080C32">
      <w:pPr>
        <w:spacing w:after="0" w:line="240" w:lineRule="auto"/>
        <w:rPr>
          <w:rFonts w:ascii="Arial" w:eastAsia="Times New Roman" w:hAnsi="Arial" w:cs="Arial"/>
          <w:b/>
          <w:bCs/>
          <w:sz w:val="28"/>
          <w:szCs w:val="27"/>
          <w:lang w:eastAsia="cs-CZ"/>
        </w:rPr>
      </w:pPr>
    </w:p>
    <w:p w:rsidR="00080C32" w:rsidRPr="007A5902" w:rsidRDefault="00080C32" w:rsidP="00080C32">
      <w:pPr>
        <w:spacing w:after="0" w:line="240" w:lineRule="auto"/>
        <w:rPr>
          <w:rFonts w:ascii="Arial" w:eastAsia="Times New Roman" w:hAnsi="Arial" w:cs="Arial"/>
          <w:b/>
          <w:bCs/>
          <w:sz w:val="28"/>
          <w:szCs w:val="27"/>
          <w:lang w:eastAsia="cs-CZ"/>
        </w:rPr>
      </w:pPr>
    </w:p>
    <w:p w:rsidR="00080C32" w:rsidRPr="007A5902" w:rsidRDefault="00080C32" w:rsidP="00080C32">
      <w:pPr>
        <w:suppressLineNumbers/>
        <w:spacing w:after="0"/>
        <w:jc w:val="center"/>
        <w:rPr>
          <w:rFonts w:ascii="Arial" w:hAnsi="Arial" w:cs="Arial"/>
        </w:rPr>
      </w:pPr>
      <w:r w:rsidRPr="007A5902">
        <w:rPr>
          <w:rFonts w:ascii="Arial" w:hAnsi="Arial" w:cs="Arial"/>
        </w:rPr>
        <w:t>Strana 4</w:t>
      </w:r>
    </w:p>
    <w:p w:rsidR="008079F2" w:rsidRDefault="008079F2"/>
    <w:sectPr w:rsidR="008079F2" w:rsidSect="00080C32">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32"/>
    <w:rsid w:val="00080C32"/>
    <w:rsid w:val="0039766C"/>
    <w:rsid w:val="005E1293"/>
    <w:rsid w:val="008079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0C32"/>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0C32"/>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965</Words>
  <Characters>5502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Tomesova Jana, Ing.</dc:creator>
  <cp:lastModifiedBy>Tomesova Jana, Ing.</cp:lastModifiedBy>
  <cp:revision>1</cp:revision>
  <dcterms:created xsi:type="dcterms:W3CDTF">2015-10-28T07:17:00Z</dcterms:created>
  <dcterms:modified xsi:type="dcterms:W3CDTF">2015-10-28T07:20:00Z</dcterms:modified>
</cp:coreProperties>
</file>